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A85354">
      <w:pPr>
        <w:spacing w:after="100" w:line="360" w:lineRule="auto"/>
        <w:jc w:val="both"/>
      </w:pPr>
      <w:r>
        <w:rPr>
          <w:rFonts w:ascii="Times New Roman" w:hAnsi="Times New Roman" w:eastAsia="思源黑体" w:cs="Times New Roman"/>
          <w:b/>
          <w:bCs/>
          <w:sz w:val="28"/>
          <w:szCs w:val="28"/>
        </w:rPr>
        <w:t>附件2</w:t>
      </w:r>
    </w:p>
    <w:p w14:paraId="6455CCA7">
      <w:pPr>
        <w:spacing w:after="60"/>
        <w:jc w:val="center"/>
        <w:rPr>
          <w:sz w:val="36"/>
          <w:szCs w:val="36"/>
        </w:rPr>
      </w:pPr>
      <w:r>
        <w:rPr>
          <w:rFonts w:ascii="Times New Roman" w:hAnsi="Times New Roman" w:eastAsia="思源黑体" w:cs="Times New Roman"/>
          <w:b/>
          <w:bCs/>
          <w:sz w:val="36"/>
          <w:szCs w:val="36"/>
        </w:rPr>
        <w:t>技术、商务条款响应表</w:t>
      </w:r>
    </w:p>
    <w:p w14:paraId="415EADCC">
      <w:pPr>
        <w:spacing w:after="60" w:line="360" w:lineRule="auto"/>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项目名称：EHTQ颗粒毒理学研究试验委托服务</w:t>
      </w:r>
    </w:p>
    <w:p w14:paraId="207D1290">
      <w:pPr>
        <w:spacing w:after="160"/>
        <w:jc w:val="both"/>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项目编号：BNL-2026-JZT-01</w:t>
      </w:r>
      <w:r>
        <w:rPr>
          <w:rFonts w:hint="eastAsia" w:ascii="仿宋_GB2312" w:hAnsi="仿宋_GB2312" w:eastAsia="仿宋_GB2312" w:cs="仿宋_GB2312"/>
          <w:sz w:val="28"/>
          <w:szCs w:val="28"/>
          <w:lang w:val="en-US" w:eastAsia="zh-CN"/>
        </w:rPr>
        <w:t>8</w:t>
      </w:r>
    </w:p>
    <w:p w14:paraId="3360B7CE">
      <w:pPr>
        <w:spacing w:after="60"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对本项目《采购需求及技术要求》中服务内容及要求的响应表：</w:t>
      </w:r>
    </w:p>
    <w:tbl>
      <w:tblPr>
        <w:tblStyle w:val="11"/>
        <w:tblW w:w="97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700"/>
        <w:gridCol w:w="4221"/>
        <w:gridCol w:w="2089"/>
        <w:gridCol w:w="1168"/>
        <w:gridCol w:w="1565"/>
      </w:tblGrid>
      <w:tr w14:paraId="11926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blHeader/>
        </w:trPr>
        <w:tc>
          <w:tcPr>
            <w:tcW w:w="700"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271DD883">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序号</w:t>
            </w:r>
          </w:p>
        </w:tc>
        <w:tc>
          <w:tcPr>
            <w:tcW w:w="4221"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0D3FADC3">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服务内容要求参数</w:t>
            </w:r>
          </w:p>
        </w:tc>
        <w:tc>
          <w:tcPr>
            <w:tcW w:w="2089"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4724B31E">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供应商响应文件具体响应</w:t>
            </w:r>
          </w:p>
        </w:tc>
        <w:tc>
          <w:tcPr>
            <w:tcW w:w="1168"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789C669D">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响应/偏离</w:t>
            </w:r>
          </w:p>
        </w:tc>
        <w:tc>
          <w:tcPr>
            <w:tcW w:w="1565"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71D095D3">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偏离说明</w:t>
            </w:r>
          </w:p>
        </w:tc>
      </w:tr>
      <w:tr w14:paraId="6048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65D69CE5">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4221"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0B80C1E6">
            <w:pPr>
              <w:spacing w:after="20" w:line="300" w:lineRule="auto"/>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成交供应商对采购人提供的EHTQ颗粒进行毒理学研究试验，开展单次给药毒性试验、重复给药毒性试验（给药时间不低于3个月）。</w:t>
            </w:r>
            <w:bookmarkStart w:id="0" w:name="_GoBack"/>
            <w:bookmarkEnd w:id="0"/>
          </w:p>
        </w:tc>
        <w:tc>
          <w:tcPr>
            <w:tcW w:w="2089"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16DC360C">
            <w:pPr>
              <w:spacing w:after="20" w:line="300" w:lineRule="auto"/>
              <w:jc w:val="left"/>
              <w:rPr>
                <w:rFonts w:hint="eastAsia" w:ascii="仿宋_GB2312" w:hAnsi="仿宋_GB2312" w:eastAsia="仿宋_GB2312" w:cs="仿宋_GB2312"/>
                <w:sz w:val="28"/>
                <w:szCs w:val="28"/>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4C872FAA">
            <w:pPr>
              <w:spacing w:after="20" w:line="300" w:lineRule="auto"/>
              <w:jc w:val="center"/>
              <w:rPr>
                <w:rFonts w:hint="eastAsia" w:ascii="仿宋_GB2312" w:hAnsi="仿宋_GB2312" w:eastAsia="仿宋_GB2312" w:cs="仿宋_GB2312"/>
                <w:sz w:val="28"/>
                <w:szCs w:val="28"/>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1EA2F911">
            <w:pPr>
              <w:spacing w:after="20" w:line="300" w:lineRule="auto"/>
              <w:jc w:val="left"/>
              <w:rPr>
                <w:rFonts w:hint="eastAsia" w:ascii="仿宋_GB2312" w:hAnsi="仿宋_GB2312" w:eastAsia="仿宋_GB2312" w:cs="仿宋_GB2312"/>
                <w:sz w:val="28"/>
                <w:szCs w:val="28"/>
              </w:rPr>
            </w:pPr>
          </w:p>
        </w:tc>
      </w:tr>
      <w:tr w14:paraId="4C078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439AC716">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4221"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54991C9A">
            <w:pPr>
              <w:spacing w:after="20" w:line="300" w:lineRule="auto"/>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试验遵循广西壮族自治区药品监督管理局医疗机构制剂申报备案相关规定，符合《关于对医疗机构应用传统工艺配制中药制剂实施备案管理的公告》（2018年第19号）、《广西医疗机构应用传统工艺配制中药民族药制剂备案管理实施细则》及国家药品监督管理局发布的毒性研究技术指导原则等要求。</w:t>
            </w:r>
          </w:p>
        </w:tc>
        <w:tc>
          <w:tcPr>
            <w:tcW w:w="2089"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7D380FAC">
            <w:pPr>
              <w:spacing w:after="20" w:line="300" w:lineRule="auto"/>
              <w:jc w:val="left"/>
              <w:rPr>
                <w:rFonts w:hint="eastAsia" w:ascii="仿宋_GB2312" w:hAnsi="仿宋_GB2312" w:eastAsia="仿宋_GB2312" w:cs="仿宋_GB2312"/>
                <w:sz w:val="28"/>
                <w:szCs w:val="28"/>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15865F13">
            <w:pPr>
              <w:spacing w:after="20" w:line="300" w:lineRule="auto"/>
              <w:jc w:val="center"/>
              <w:rPr>
                <w:rFonts w:hint="eastAsia" w:ascii="仿宋_GB2312" w:hAnsi="仿宋_GB2312" w:eastAsia="仿宋_GB2312" w:cs="仿宋_GB2312"/>
                <w:sz w:val="28"/>
                <w:szCs w:val="28"/>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344D0A28">
            <w:pPr>
              <w:spacing w:after="20" w:line="300" w:lineRule="auto"/>
              <w:jc w:val="left"/>
              <w:rPr>
                <w:rFonts w:hint="eastAsia" w:ascii="仿宋_GB2312" w:hAnsi="仿宋_GB2312" w:eastAsia="仿宋_GB2312" w:cs="仿宋_GB2312"/>
                <w:sz w:val="28"/>
                <w:szCs w:val="28"/>
              </w:rPr>
            </w:pPr>
          </w:p>
        </w:tc>
      </w:tr>
      <w:tr w14:paraId="34FA8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4A5C9DC7">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4221"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69C4C5CD">
            <w:pPr>
              <w:spacing w:after="20" w:line="300" w:lineRule="auto"/>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成交供应商负责项目设计、统筹、协调，出具试验方案、人员组成、时间计划等，并按约定进度完成研究工作，出具符合国家相关规范的实验报告并负责相关审核单位的质询。</w:t>
            </w:r>
          </w:p>
        </w:tc>
        <w:tc>
          <w:tcPr>
            <w:tcW w:w="2089"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7D66BC87">
            <w:pPr>
              <w:spacing w:after="20" w:line="300" w:lineRule="auto"/>
              <w:jc w:val="left"/>
              <w:rPr>
                <w:rFonts w:hint="eastAsia" w:ascii="仿宋_GB2312" w:hAnsi="仿宋_GB2312" w:eastAsia="仿宋_GB2312" w:cs="仿宋_GB2312"/>
                <w:sz w:val="28"/>
                <w:szCs w:val="28"/>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56CA8054">
            <w:pPr>
              <w:spacing w:after="20" w:line="300" w:lineRule="auto"/>
              <w:jc w:val="center"/>
              <w:rPr>
                <w:rFonts w:hint="eastAsia" w:ascii="仿宋_GB2312" w:hAnsi="仿宋_GB2312" w:eastAsia="仿宋_GB2312" w:cs="仿宋_GB2312"/>
                <w:sz w:val="28"/>
                <w:szCs w:val="28"/>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03D4431E">
            <w:pPr>
              <w:spacing w:after="20" w:line="300" w:lineRule="auto"/>
              <w:jc w:val="left"/>
              <w:rPr>
                <w:rFonts w:hint="eastAsia" w:ascii="仿宋_GB2312" w:hAnsi="仿宋_GB2312" w:eastAsia="仿宋_GB2312" w:cs="仿宋_GB2312"/>
                <w:sz w:val="28"/>
                <w:szCs w:val="28"/>
              </w:rPr>
            </w:pPr>
          </w:p>
        </w:tc>
      </w:tr>
      <w:tr w14:paraId="3420C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5CD04E24">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4221"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4CD70899">
            <w:pPr>
              <w:spacing w:after="20" w:line="300" w:lineRule="auto"/>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开发成果交付研究报告，须符合现场核查和技术审评要求；配合完成广西药监部门制剂备案审评过程中的技术答疑、补充试验或数据发补工作（如有）。</w:t>
            </w:r>
          </w:p>
        </w:tc>
        <w:tc>
          <w:tcPr>
            <w:tcW w:w="2089"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6B280B08">
            <w:pPr>
              <w:spacing w:after="20" w:line="300" w:lineRule="auto"/>
              <w:jc w:val="left"/>
              <w:rPr>
                <w:rFonts w:hint="eastAsia" w:ascii="仿宋_GB2312" w:hAnsi="仿宋_GB2312" w:eastAsia="仿宋_GB2312" w:cs="仿宋_GB2312"/>
                <w:sz w:val="28"/>
                <w:szCs w:val="28"/>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5104C39C">
            <w:pPr>
              <w:spacing w:after="20" w:line="300" w:lineRule="auto"/>
              <w:jc w:val="center"/>
              <w:rPr>
                <w:rFonts w:hint="eastAsia" w:ascii="仿宋_GB2312" w:hAnsi="仿宋_GB2312" w:eastAsia="仿宋_GB2312" w:cs="仿宋_GB2312"/>
                <w:sz w:val="28"/>
                <w:szCs w:val="28"/>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7F87CB62">
            <w:pPr>
              <w:spacing w:after="20" w:line="300" w:lineRule="auto"/>
              <w:jc w:val="left"/>
              <w:rPr>
                <w:rFonts w:hint="eastAsia" w:ascii="仿宋_GB2312" w:hAnsi="仿宋_GB2312" w:eastAsia="仿宋_GB2312" w:cs="仿宋_GB2312"/>
                <w:sz w:val="28"/>
                <w:szCs w:val="28"/>
              </w:rPr>
            </w:pPr>
          </w:p>
        </w:tc>
      </w:tr>
      <w:tr w14:paraId="7C34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4299AB5A">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4221"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7C10CA1C">
            <w:pPr>
              <w:spacing w:after="20" w:line="300" w:lineRule="auto"/>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服务过程文件和病理标本由成交供应商规范整理与留存，免费保存至获得新的批准证书后五年；到期书面通知采购人。</w:t>
            </w:r>
          </w:p>
        </w:tc>
        <w:tc>
          <w:tcPr>
            <w:tcW w:w="2089"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71E5FA6F">
            <w:pPr>
              <w:spacing w:after="20" w:line="300" w:lineRule="auto"/>
              <w:jc w:val="left"/>
              <w:rPr>
                <w:rFonts w:hint="eastAsia" w:ascii="仿宋_GB2312" w:hAnsi="仿宋_GB2312" w:eastAsia="仿宋_GB2312" w:cs="仿宋_GB2312"/>
                <w:sz w:val="28"/>
                <w:szCs w:val="28"/>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1A7F03FD">
            <w:pPr>
              <w:spacing w:after="20" w:line="300" w:lineRule="auto"/>
              <w:jc w:val="center"/>
              <w:rPr>
                <w:rFonts w:hint="eastAsia" w:ascii="仿宋_GB2312" w:hAnsi="仿宋_GB2312" w:eastAsia="仿宋_GB2312" w:cs="仿宋_GB2312"/>
                <w:sz w:val="28"/>
                <w:szCs w:val="28"/>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3990F3C6">
            <w:pPr>
              <w:spacing w:after="20" w:line="300" w:lineRule="auto"/>
              <w:jc w:val="left"/>
              <w:rPr>
                <w:rFonts w:hint="eastAsia" w:ascii="仿宋_GB2312" w:hAnsi="仿宋_GB2312" w:eastAsia="仿宋_GB2312" w:cs="仿宋_GB2312"/>
                <w:sz w:val="28"/>
                <w:szCs w:val="28"/>
              </w:rPr>
            </w:pPr>
          </w:p>
        </w:tc>
      </w:tr>
      <w:tr w14:paraId="078F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006095D6">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4221"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08A9287E">
            <w:pPr>
              <w:spacing w:after="20" w:line="300" w:lineRule="auto"/>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服务期限：自样品接收且首笔款支付后6个月内，正式交付试验研究资料；服务地点由成交供应商提供具有资质的实验场地。</w:t>
            </w:r>
          </w:p>
        </w:tc>
        <w:tc>
          <w:tcPr>
            <w:tcW w:w="2089"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63E3B608">
            <w:pPr>
              <w:spacing w:after="20" w:line="300" w:lineRule="auto"/>
              <w:jc w:val="left"/>
              <w:rPr>
                <w:rFonts w:hint="eastAsia" w:ascii="仿宋_GB2312" w:hAnsi="仿宋_GB2312" w:eastAsia="仿宋_GB2312" w:cs="仿宋_GB2312"/>
                <w:sz w:val="28"/>
                <w:szCs w:val="28"/>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75B570B3">
            <w:pPr>
              <w:spacing w:after="20" w:line="300" w:lineRule="auto"/>
              <w:jc w:val="center"/>
              <w:rPr>
                <w:rFonts w:hint="eastAsia" w:ascii="仿宋_GB2312" w:hAnsi="仿宋_GB2312" w:eastAsia="仿宋_GB2312" w:cs="仿宋_GB2312"/>
                <w:sz w:val="28"/>
                <w:szCs w:val="28"/>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6C6380D6">
            <w:pPr>
              <w:spacing w:after="20" w:line="300" w:lineRule="auto"/>
              <w:jc w:val="left"/>
              <w:rPr>
                <w:rFonts w:hint="eastAsia" w:ascii="仿宋_GB2312" w:hAnsi="仿宋_GB2312" w:eastAsia="仿宋_GB2312" w:cs="仿宋_GB2312"/>
                <w:sz w:val="28"/>
                <w:szCs w:val="28"/>
              </w:rPr>
            </w:pPr>
          </w:p>
        </w:tc>
      </w:tr>
      <w:tr w14:paraId="722C7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66B5E368">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w:t>
            </w:r>
          </w:p>
        </w:tc>
        <w:tc>
          <w:tcPr>
            <w:tcW w:w="4221"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3A3FD721">
            <w:pPr>
              <w:spacing w:after="20" w:line="300" w:lineRule="auto"/>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付款方式：合同签字盖章生效后7个工作日内支付合同总款60%作为首付款；交付电子版总结报告初稿并经审核通过后10个工作日内支付剩余费用；支付后7日内提供盖章正式纸质总结报告。报价为总包价，含实验试剂、耗材、实验动物、人员薪酬、税费等全部费用。</w:t>
            </w:r>
          </w:p>
        </w:tc>
        <w:tc>
          <w:tcPr>
            <w:tcW w:w="2089"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026E1C73">
            <w:pPr>
              <w:spacing w:after="20" w:line="300" w:lineRule="auto"/>
              <w:jc w:val="left"/>
              <w:rPr>
                <w:rFonts w:hint="eastAsia" w:ascii="仿宋_GB2312" w:hAnsi="仿宋_GB2312" w:eastAsia="仿宋_GB2312" w:cs="仿宋_GB2312"/>
                <w:sz w:val="28"/>
                <w:szCs w:val="28"/>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44DB98CD">
            <w:pPr>
              <w:spacing w:after="20" w:line="300" w:lineRule="auto"/>
              <w:jc w:val="center"/>
              <w:rPr>
                <w:rFonts w:hint="eastAsia" w:ascii="仿宋_GB2312" w:hAnsi="仿宋_GB2312" w:eastAsia="仿宋_GB2312" w:cs="仿宋_GB2312"/>
                <w:sz w:val="28"/>
                <w:szCs w:val="28"/>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0C9A6113">
            <w:pPr>
              <w:spacing w:after="20" w:line="300" w:lineRule="auto"/>
              <w:jc w:val="left"/>
              <w:rPr>
                <w:rFonts w:hint="eastAsia" w:ascii="仿宋_GB2312" w:hAnsi="仿宋_GB2312" w:eastAsia="仿宋_GB2312" w:cs="仿宋_GB2312"/>
                <w:sz w:val="28"/>
                <w:szCs w:val="28"/>
              </w:rPr>
            </w:pPr>
          </w:p>
        </w:tc>
      </w:tr>
      <w:tr w14:paraId="7B6B6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0C21FC7A">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w:t>
            </w:r>
          </w:p>
        </w:tc>
        <w:tc>
          <w:tcPr>
            <w:tcW w:w="4221"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00E85906">
            <w:pPr>
              <w:spacing w:after="20" w:line="300" w:lineRule="auto"/>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验收标准：6个月内完成全部试验研究，交付电子版总结报告初稿，审核通过后提供正式纸质总结报告及相关附件材料；报告及原始数据须满足广西药监局医疗机构制剂备案申报资料技术审查要求并加盖单位公章。如资料因真实性问题未符合技术审评或现场考核，成交供应商全额退回所有研究费用并承担相关责任。</w:t>
            </w:r>
          </w:p>
        </w:tc>
        <w:tc>
          <w:tcPr>
            <w:tcW w:w="2089"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60236CBC">
            <w:pPr>
              <w:spacing w:after="20" w:line="300" w:lineRule="auto"/>
              <w:jc w:val="left"/>
              <w:rPr>
                <w:rFonts w:hint="eastAsia" w:ascii="仿宋_GB2312" w:hAnsi="仿宋_GB2312" w:eastAsia="仿宋_GB2312" w:cs="仿宋_GB2312"/>
                <w:sz w:val="28"/>
                <w:szCs w:val="28"/>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3C11FA9B">
            <w:pPr>
              <w:spacing w:after="20" w:line="300" w:lineRule="auto"/>
              <w:jc w:val="center"/>
              <w:rPr>
                <w:rFonts w:hint="eastAsia" w:ascii="仿宋_GB2312" w:hAnsi="仿宋_GB2312" w:eastAsia="仿宋_GB2312" w:cs="仿宋_GB2312"/>
                <w:sz w:val="28"/>
                <w:szCs w:val="28"/>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4705006E">
            <w:pPr>
              <w:spacing w:after="20" w:line="300" w:lineRule="auto"/>
              <w:jc w:val="left"/>
              <w:rPr>
                <w:rFonts w:hint="eastAsia" w:ascii="仿宋_GB2312" w:hAnsi="仿宋_GB2312" w:eastAsia="仿宋_GB2312" w:cs="仿宋_GB2312"/>
                <w:sz w:val="28"/>
                <w:szCs w:val="28"/>
              </w:rPr>
            </w:pPr>
          </w:p>
        </w:tc>
      </w:tr>
    </w:tbl>
    <w:p w14:paraId="2642B8B2">
      <w:pPr>
        <w:rPr>
          <w:rFonts w:hint="eastAsia" w:ascii="仿宋_GB2312" w:hAnsi="仿宋_GB2312" w:eastAsia="仿宋_GB2312" w:cs="仿宋_GB2312"/>
          <w:sz w:val="28"/>
          <w:szCs w:val="28"/>
        </w:rPr>
      </w:pPr>
    </w:p>
    <w:p w14:paraId="0D257780">
      <w:pPr>
        <w:spacing w:after="60"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注：本表应对《采购需求及技术要求》中所列的服务内容及要求进行逐条响应，并根据响应情况在“偏离说明”栏填写正偏离或负偏离及原因，完全符合的填写“无偏离”。</w:t>
      </w:r>
    </w:p>
    <w:p w14:paraId="03D81710">
      <w:pPr>
        <w:rPr>
          <w:rFonts w:hint="eastAsia" w:ascii="仿宋_GB2312" w:hAnsi="仿宋_GB2312" w:eastAsia="仿宋_GB2312" w:cs="仿宋_GB2312"/>
          <w:sz w:val="28"/>
          <w:szCs w:val="28"/>
        </w:rPr>
      </w:pPr>
    </w:p>
    <w:p w14:paraId="1064C14D">
      <w:pPr>
        <w:spacing w:after="60"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法定代表人或其委托代理人签名（或盖章）：</w:t>
      </w:r>
    </w:p>
    <w:p w14:paraId="0346977A">
      <w:pPr>
        <w:rPr>
          <w:rFonts w:hint="eastAsia" w:ascii="仿宋_GB2312" w:hAnsi="仿宋_GB2312" w:eastAsia="仿宋_GB2312" w:cs="仿宋_GB2312"/>
          <w:sz w:val="28"/>
          <w:szCs w:val="28"/>
        </w:rPr>
      </w:pPr>
    </w:p>
    <w:p w14:paraId="0607010B">
      <w:pPr>
        <w:spacing w:after="60"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报价公司（公章）：</w:t>
      </w:r>
    </w:p>
    <w:p w14:paraId="3347329D">
      <w:pPr>
        <w:rPr>
          <w:rFonts w:hint="eastAsia" w:ascii="仿宋_GB2312" w:hAnsi="仿宋_GB2312" w:eastAsia="仿宋_GB2312" w:cs="仿宋_GB2312"/>
          <w:sz w:val="28"/>
          <w:szCs w:val="28"/>
        </w:rPr>
      </w:pPr>
    </w:p>
    <w:p w14:paraId="0D5FD98B">
      <w:pPr>
        <w:spacing w:after="60" w:line="360" w:lineRule="auto"/>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日期：      年      月      日</w:t>
      </w:r>
    </w:p>
    <w:sectPr>
      <w:footerReference r:id="rId3" w:type="default"/>
      <w:pgSz w:w="11906" w:h="16838"/>
      <w:pgMar w:top="1440" w:right="1080" w:bottom="1440" w:left="1080" w:header="708" w:footer="708" w:gutter="0"/>
      <w:pgBorders>
        <w:top w:val="none" w:sz="0" w:space="0"/>
        <w:left w:val="none" w:sz="0" w:space="0"/>
        <w:bottom w:val="none" w:sz="0" w:space="0"/>
        <w:right w:val="none" w:sz="0" w:space="0"/>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思源黑体">
    <w:altName w:val="黑体"/>
    <w:panose1 w:val="00000000000000000000"/>
    <w:charset w:val="86"/>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F3BBD">
    <w:pPr>
      <w:jc w:val="center"/>
    </w:pPr>
    <w:r>
      <w:rPr>
        <w:rFonts w:ascii="Times New Roman" w:hAnsi="Times New Roman" w:eastAsia="思源黑体" w:cs="Times New Roman"/>
      </w:rPr>
      <w:t xml:space="preserve">第 </w:t>
    </w:r>
    <w:r>
      <w:rPr>
        <w:rFonts w:ascii="Times New Roman" w:hAnsi="Times New Roman" w:eastAsia="思源黑体" w:cs="Times New Roman"/>
      </w:rPr>
      <w:fldChar w:fldCharType="begin"/>
    </w:r>
    <w:r>
      <w:rPr>
        <w:rFonts w:ascii="Times New Roman" w:hAnsi="Times New Roman" w:eastAsia="思源黑体" w:cs="Times New Roman"/>
      </w:rPr>
      <w:instrText xml:space="preserve">PAGE</w:instrText>
    </w:r>
    <w:r>
      <w:rPr>
        <w:rFonts w:ascii="Times New Roman" w:hAnsi="Times New Roman" w:eastAsia="思源黑体" w:cs="Times New Roman"/>
      </w:rPr>
      <w:fldChar w:fldCharType="separate"/>
    </w:r>
    <w:r>
      <w:rPr>
        <w:rFonts w:ascii="Times New Roman" w:hAnsi="Times New Roman" w:eastAsia="思源黑体" w:cs="Times New Roman"/>
      </w:rPr>
      <w:fldChar w:fldCharType="end"/>
    </w:r>
    <w:r>
      <w:rPr>
        <w:rFonts w:ascii="Times New Roman" w:hAnsi="Times New Roman" w:eastAsia="思源黑体" w:cs="Times New Roman"/>
      </w:rPr>
      <w:t xml:space="preserve"> 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documentProtection w:enforcement="0"/>
  <w:compat>
    <w:useFELayout/>
    <w:compatSetting w:name="compatibilityMode" w:uri="http://schemas.microsoft.com/office/word" w:val="15"/>
  </w:compat>
  <w:rsids>
    <w:rsidRoot w:val="00000000"/>
    <w:rsid w:val="1BEC6B01"/>
    <w:rsid w:val="31F21930"/>
    <w:rsid w:val="38BA3520"/>
    <w:rsid w:val="42F85E2A"/>
    <w:rsid w:val="4ED137B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思源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思源黑体" w:cs="Times New Roman"/>
      <w:sz w:val="24"/>
      <w:szCs w:val="24"/>
    </w:rPr>
  </w:style>
  <w:style w:type="paragraph" w:styleId="2">
    <w:name w:val="heading 1"/>
    <w:next w:val="1"/>
    <w:qFormat/>
    <w:uiPriority w:val="0"/>
    <w:pPr>
      <w:spacing w:before="200" w:after="120" w:line="360" w:lineRule="auto"/>
      <w:outlineLvl w:val="0"/>
    </w:pPr>
    <w:rPr>
      <w:rFonts w:ascii="Times New Roman" w:hAnsi="Times New Roman" w:eastAsia="思源黑体" w:cs="Times New Roman"/>
      <w:b/>
      <w:bCs/>
      <w:sz w:val="30"/>
      <w:szCs w:val="30"/>
    </w:rPr>
  </w:style>
  <w:style w:type="paragraph" w:styleId="3">
    <w:name w:val="heading 2"/>
    <w:next w:val="1"/>
    <w:qFormat/>
    <w:uiPriority w:val="0"/>
    <w:pPr>
      <w:spacing w:before="160" w:after="100" w:line="360" w:lineRule="auto"/>
      <w:outlineLvl w:val="1"/>
    </w:pPr>
    <w:rPr>
      <w:rFonts w:ascii="Times New Roman" w:hAnsi="Times New Roman" w:eastAsia="思源黑体" w:cs="Times New Roman"/>
      <w:b/>
      <w:bCs/>
      <w:sz w:val="26"/>
      <w:szCs w:val="26"/>
    </w:rPr>
  </w:style>
  <w:style w:type="paragraph" w:styleId="4">
    <w:name w:val="heading 3"/>
    <w:next w:val="1"/>
    <w:qFormat/>
    <w:uiPriority w:val="0"/>
    <w:pPr>
      <w:spacing w:line="360" w:lineRule="auto"/>
    </w:pPr>
    <w:rPr>
      <w:rFonts w:ascii="Times New Roman" w:hAnsi="Times New Roman" w:eastAsia="思源黑体" w:cs="Times New Roman"/>
      <w:color w:val="1F4D78"/>
      <w:sz w:val="24"/>
      <w:szCs w:val="24"/>
    </w:rPr>
  </w:style>
  <w:style w:type="paragraph" w:styleId="5">
    <w:name w:val="heading 4"/>
    <w:next w:val="1"/>
    <w:qFormat/>
    <w:uiPriority w:val="0"/>
    <w:pPr>
      <w:spacing w:line="360" w:lineRule="auto"/>
    </w:pPr>
    <w:rPr>
      <w:rFonts w:ascii="Times New Roman" w:hAnsi="Times New Roman" w:eastAsia="思源黑体" w:cs="Times New Roman"/>
      <w:i/>
      <w:iCs/>
      <w:color w:val="2E74B5"/>
      <w:sz w:val="24"/>
      <w:szCs w:val="24"/>
    </w:rPr>
  </w:style>
  <w:style w:type="paragraph" w:styleId="6">
    <w:name w:val="heading 5"/>
    <w:next w:val="1"/>
    <w:qFormat/>
    <w:uiPriority w:val="0"/>
    <w:pPr>
      <w:spacing w:line="360" w:lineRule="auto"/>
    </w:pPr>
    <w:rPr>
      <w:rFonts w:ascii="Times New Roman" w:hAnsi="Times New Roman" w:eastAsia="思源黑体" w:cs="Times New Roman"/>
      <w:color w:val="2E74B5"/>
      <w:sz w:val="24"/>
      <w:szCs w:val="24"/>
    </w:rPr>
  </w:style>
  <w:style w:type="paragraph" w:styleId="7">
    <w:name w:val="heading 6"/>
    <w:next w:val="1"/>
    <w:qFormat/>
    <w:uiPriority w:val="0"/>
    <w:pPr>
      <w:spacing w:line="360" w:lineRule="auto"/>
    </w:pPr>
    <w:rPr>
      <w:rFonts w:ascii="Times New Roman" w:hAnsi="Times New Roman" w:eastAsia="思源黑体" w:cs="Times New Roman"/>
      <w:color w:val="1F4D78"/>
      <w:sz w:val="24"/>
      <w:szCs w:val="2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Times New Roman" w:hAnsi="Times New Roman" w:eastAsia="思源黑体" w:cs="Times New Roman"/>
      <w:sz w:val="20"/>
      <w:szCs w:val="20"/>
    </w:rPr>
  </w:style>
  <w:style w:type="paragraph" w:styleId="9">
    <w:name w:val="footnote text"/>
    <w:link w:val="17"/>
    <w:semiHidden/>
    <w:unhideWhenUsed/>
    <w:qFormat/>
    <w:uiPriority w:val="99"/>
    <w:pPr>
      <w:spacing w:after="0" w:line="240" w:lineRule="auto"/>
    </w:pPr>
    <w:rPr>
      <w:rFonts w:ascii="Times New Roman" w:hAnsi="Times New Roman" w:eastAsia="思源黑体" w:cs="Times New Roman"/>
      <w:sz w:val="20"/>
      <w:szCs w:val="20"/>
    </w:rPr>
  </w:style>
  <w:style w:type="paragraph" w:styleId="10">
    <w:name w:val="Title"/>
    <w:qFormat/>
    <w:uiPriority w:val="0"/>
    <w:pPr>
      <w:spacing w:line="360" w:lineRule="auto"/>
    </w:pPr>
    <w:rPr>
      <w:rFonts w:ascii="Times New Roman" w:hAnsi="Times New Roman" w:eastAsia="思源黑体" w:cs="Times New Roman"/>
      <w:sz w:val="56"/>
      <w:szCs w:val="56"/>
    </w:rPr>
  </w:style>
  <w:style w:type="character" w:styleId="13">
    <w:name w:val="endnote reference"/>
    <w:semiHidden/>
    <w:unhideWhenUsed/>
    <w:uiPriority w:val="99"/>
    <w:rPr>
      <w:vertAlign w:val="superscript"/>
    </w:rPr>
  </w:style>
  <w:style w:type="character" w:styleId="14">
    <w:name w:val="Hyperlink"/>
    <w:unhideWhenUsed/>
    <w:uiPriority w:val="99"/>
    <w:rPr>
      <w:color w:val="0563C1"/>
      <w:u w:val="single"/>
    </w:rPr>
  </w:style>
  <w:style w:type="character" w:styleId="15">
    <w:name w:val="footnote reference"/>
    <w:semiHidden/>
    <w:unhideWhenUsed/>
    <w:uiPriority w:val="99"/>
    <w:rPr>
      <w:vertAlign w:val="superscript"/>
    </w:rPr>
  </w:style>
  <w:style w:type="paragraph" w:styleId="16">
    <w:name w:val="List Paragraph"/>
    <w:qFormat/>
    <w:uiPriority w:val="0"/>
    <w:pPr>
      <w:spacing w:line="360" w:lineRule="auto"/>
    </w:pPr>
    <w:rPr>
      <w:rFonts w:ascii="Times New Roman" w:hAnsi="Times New Roman" w:eastAsia="思源黑体" w:cs="Times New Roman"/>
      <w:sz w:val="24"/>
      <w:szCs w:val="24"/>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uiPriority w:val="99"/>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898</Words>
  <Characters>926</Characters>
  <TotalTime>0</TotalTime>
  <ScaleCrop>false</ScaleCrop>
  <LinksUpToDate>false</LinksUpToDate>
  <CharactersWithSpaces>944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2026-09-11T03:53:00Z</dcterms:created>
  <dc:creator>Un-named</dc:creator>
  <cp:lastModifiedBy>tsunamileos</cp:lastModifiedBy>
  <dcterms:modified xsi:type="dcterms:W3CDTF">2026-09-16T03:04:34Z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{"Label":"1","ContentProducer":"001191440300708461136T1WFUO","ProduceID":"f7122281ebe4a1875352b8d97f298e1c-haaN","ReservedCode1":"{\"Type\":\" TC260PG\",\"Version\":1,\"Bindings\":[{\"Type\":\"soft\",\"AlgID\":\"sm3\",\"Value\":\"19bf938a80ba0280c85a69bee82c7248424db2c096e0dc6f0d852eff79819a69\"},{\"Type\":\"hash\",\"AlgID\":\"sm3\",\"Value\":\"07babd57fb8319ef0bd7ed75381f0ff54cfb8d23d6ba5903ead40abf9a3c8217\"}],\"PubSD\":[{\"Type\":\"DS\",\"AlgID\":\"sm2\",\"TBSData\":{\"Type\":\"Binding\",\"BType\":\"hash\"},\"Signature\":\"3045022100c67eac6c9fd89641ce1187660dd9debdc3ff1e59a4874399770bc474d5e7c703022055215cfcd37560e59a59df7a93a8e8652ef60accd71e041a7ed0b8925733bd6e\"},{\"Type\":\"PubKey\",\"AlgID\":\"sm2\",\"KeyValue\":\"0407f79b28a17a752b3aae4305c98b48978213832729a2571850b1310b2bc9fe8fee039ccf25ebfeac27502414d9fcef792d777183c98893d226171c2f7a3289a2\"}],\"Extension\":{\"Timestamp\":1789098861,\"KeyVersion\":\"v1-TxLeOmf7bqU223\"}}","ContentPropagator":"001191440300708461136T1WFUO","PropagateID":"f7122281ebe4a1875352b8d97f298e1c-haaN","ReservedCode2":"{\"Type\":\" TC260PG\",\"Version\":1,\"Bindings\":[{\"Type\":\"soft\",\"AlgID\":\"sm3\",\"Value\":\"19bf938a80ba0280c85a69bee82c7248424db2c096e0dc6f0d852eff79819a69\"},{\"Type\":\"hash\",\"AlgID\":\"sm3\",\"Value\":\"07babd57fb8319ef0bd7ed75381f0ff54cfb8d23d6ba5903ead40abf9a3c8217\"}],\"PubSD\":[{\"Type\":\"DS\",\"AlgID\":\"sm2\",\"TBSData\":{\"Type\":\"Binding\",\"BType\":\"hash\"},\"Signature\":\"3045022100bfa3b1166a6159448330cf05ecb0558f558a48bae4a817fcb1989f32e6f4692102204588863b7935a9026f3453a5a8b2ee5676a540e102d1af3aa6a694d7a260a275\"},{\"Type\":\"PubKey\",\"AlgID\":\"sm2\",\"KeyValue\":\"0407f79b28a17a752b3aae4305c98b48978213832729a2571850b1310b2bc9fe8fee039ccf25ebfeac27502414d9fcef792d777183c98893d226171c2f7a3289a2\"}],\"Extension\":{\"Timestamp\":1789098861,\"KeyVersion\":\"v1-TxLeOmf7bqU223\"}}"}</vt:lpwstr>
  </property>
  <property fmtid="{D5CDD505-2E9C-101B-9397-08002B2CF9AE}" pid="3" name="KSOTemplateDocerSaveRecord">
    <vt:lpwstr>eyJoZGlkIjoiMDFhZTUxZGM0MzUxYTIwMWJmMGZhNWI5YTQ1YjI5ZTYiLCJ1c2VySWQiOiI1MzAxMDI3NTcifQ==</vt:lpwstr>
  </property>
  <property fmtid="{D5CDD505-2E9C-101B-9397-08002B2CF9AE}" pid="4" name="KSOProductBuildVer">
    <vt:lpwstr>2052-12.1.0.28505</vt:lpwstr>
  </property>
  <property fmtid="{D5CDD505-2E9C-101B-9397-08002B2CF9AE}" pid="5" name="ICV">
    <vt:lpwstr>FCCB88C0B5E34B17B848AF0083D07C39_12</vt:lpwstr>
  </property>
</Properties>
</file>