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618F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6"/>
          <w:szCs w:val="36"/>
        </w:rPr>
        <w:t>选题指南</w:t>
      </w:r>
    </w:p>
    <w:bookmarkEnd w:id="0"/>
    <w:p w14:paraId="3C1D54F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7E3A504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1.统筹建好政治生态与自然生态的机制与路径研究</w:t>
      </w:r>
    </w:p>
    <w:p w14:paraId="5644F72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2.政治生态突出问题的成因与系统性治理研究</w:t>
      </w:r>
    </w:p>
    <w:p w14:paraId="2B0115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3.人工智能赋能广西服务周边外交的路径研究</w:t>
      </w:r>
    </w:p>
    <w:p w14:paraId="62EBA01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4.中国一东盟跨境数据流动治理机制创新研究</w:t>
      </w:r>
    </w:p>
    <w:p w14:paraId="040A462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5.教育科技人才一体化驱动广西高质量发展的路径研究</w:t>
      </w:r>
    </w:p>
    <w:p w14:paraId="12963C1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6.制度型开放牵引构建广西现代产业体系的创新研究</w:t>
      </w:r>
    </w:p>
    <w:p w14:paraId="371FDF3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7.深化中越边境地区多民族文化交融的路径研究</w:t>
      </w:r>
    </w:p>
    <w:p w14:paraId="0CB3579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8.广西比较优势转化赋能“五大家园”建设的路径研究</w:t>
      </w:r>
    </w:p>
    <w:p w14:paraId="2D41F2F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9.深化桂越跨境产业链供应链价值链的合作机制研究</w:t>
      </w:r>
    </w:p>
    <w:p w14:paraId="002DAF3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10.广西建设面向东盟人工智能合作高地的对策研究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3D24DB"/>
    <w:rsid w:val="0B3D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2026-02-28T07:26:00Z</dcterms:created>
  <dc:creator>muse</dc:creator>
  <cp:lastModifiedBy>muse</cp:lastModifiedBy>
  <dcterms:modified xsi:type="dcterms:W3CDTF">2026-02-28T07:28:40Z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ABD568D596724A21AC0BC76C415A51B5_11</vt:lpwstr>
  </property>
  <property fmtid="{D5CDD505-2E9C-101B-9397-08002B2CF9AE}" pid="4" name="KSOTemplateDocerSaveRecord">
    <vt:lpwstr>eyJoZGlkIjoiMDYwOGI2NDgyZDQ4MWNlNGQ1M2JlNDUzNjYyNzcwYjYiLCJ1c2VySWQiOiI0OTU1NjY0MjIifQ==</vt:lpwstr>
  </property>
</Properties>
</file>